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Calibri" w:cs="Calibri" w:eastAsia="Calibri" w:hAnsi="Calibri"/>
          <w:b/>
          <w:bCs/>
          <w:color w:val="1A5276"/>
          <w:sz w:val="46"/>
          <w:szCs w:val="46"/>
        </w:rPr>
        <w:t xml:space="preserve">OMIE HOLLEY</w:t>
      </w:r>
    </w:p>
    <w:p>
      <w:pPr>
        <w:spacing w:before="50"/>
        <w:jc w:val="center"/>
      </w:pPr>
      <w:r>
        <w:rPr>
          <w:rFonts w:ascii="Calibri" w:cs="Calibri" w:eastAsia="Calibri" w:hAnsi="Calibri"/>
          <w:i/>
          <w:iCs/>
          <w:color w:val="2C3E50"/>
          <w:sz w:val="21"/>
          <w:szCs w:val="21"/>
        </w:rPr>
        <w:t xml:space="preserve">Staff-Level Full-Stack Engineer &amp; Technical Product Builder</w:t>
      </w:r>
    </w:p>
    <w:p>
      <w:pPr>
        <w:spacing w:after="40" w:before="70"/>
        <w:jc w:val="center"/>
      </w:pPr>
      <w:r>
        <w:rPr>
          <w:rFonts w:ascii="Calibri" w:cs="Calibri" w:eastAsia="Calibri" w:hAnsi="Calibri"/>
          <w:color w:val="566573"/>
          <w:sz w:val="19"/>
          <w:szCs w:val="19"/>
        </w:rPr>
        <w:t xml:space="preserve">Houston, TX  |  404-576-3956  |  </w:t>
      </w:r>
      <w:r>
        <w:rPr>
          <w:rFonts w:ascii="Calibri" w:cs="Calibri" w:eastAsia="Calibri" w:hAnsi="Calibri"/>
          <w:color w:val="1A5276"/>
          <w:sz w:val="19"/>
          <w:szCs w:val="19"/>
        </w:rPr>
        <w:t xml:space="preserve">mail@omieholley.com</w:t>
      </w:r>
      <w:r>
        <w:rPr>
          <w:rFonts w:ascii="Calibri" w:cs="Calibri" w:eastAsia="Calibri" w:hAnsi="Calibri"/>
          <w:color w:val="566573"/>
          <w:sz w:val="19"/>
          <w:szCs w:val="19"/>
        </w:rPr>
        <w:t xml:space="preserve">  |  </w:t>
      </w:r>
      <w:r>
        <w:rPr>
          <w:rFonts w:ascii="Calibri" w:cs="Calibri" w:eastAsia="Calibri" w:hAnsi="Calibri"/>
          <w:color w:val="1A5276"/>
          <w:sz w:val="19"/>
          <w:szCs w:val="19"/>
        </w:rPr>
        <w:t xml:space="preserve">omieholley.com</w:t>
      </w:r>
    </w:p>
    <w:p>
      <w:pPr>
        <w:spacing w:after="60" w:before="17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PROFESSIONAL SUMMARY</w:t>
      </w:r>
    </w:p>
    <w:p>
      <w:pPr>
        <w:spacing w:after="60" w:before="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Full-stack engineer with 10+ years taking products through their entire life — from ambiguous beginnings to production systems people depend on. Starts wherever the problem starts: user research, UX, data modeling, frontend, backend, or cloud infrastructure. Comfortable inheriting an undocumented prototype or a legacy monolith, and just as comfortable with a blank page. Ships, then keeps it healthy — monitoring, observability, root-cause debugging. Works hands-on at every scale: independently, embedded in a team, or leading one.</w:t>
      </w:r>
    </w:p>
    <w:p>
      <w:pPr>
        <w:spacing w:after="60" w:before="17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TECHNICAL SKILLS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24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Languages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TypeScript, JavaScript, Java, SQL, Python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Front-End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React, Next.js, Remix, Angular, TailwindCSS, HTML/CSS, Flutter; Design Systems &amp; Component Libraries; Data Visualization (D3.js, Recharts)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Back-End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Node.js (Nest.js, Express, Fastify), Spring Framework, GraphQL, REST APIs, AWS Lambda, Fargate, EventBridge, SNS/SQS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AI &amp; NLP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AWS Bedrock, Lex, Comprehend, Transcribe; Conversational AI (Chatbot/Voicebot); LLM Integration &amp; Orchestration; Batch Inference; Call-Analytics &amp; Classification Pipelines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Databases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PostgreSQL, MySQL, Oracle, MongoDB, DynamoDB, Redis, Databricks; Prisma &amp; Drizzle ORM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Cloud &amp; DevOps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AWS (CDK, EC2, ECS, ECR, Fargate, Lambda, S3, VPC, DMS, IAM, CodePipeline/Build/Deploy, EventBridge, SNS/SQS, Bedrock), GCP (AppEngine, BigQuery, Pub/Sub, DataFlow); Docker, Terraform, CloudFormation, IaC, CI/CD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Architecture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Enterprise &amp; System Design, Domain-Driven Design, Database Architecture, Microservices, Federated Front-Ends, Event-Driven, Performance Tuning</w:t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5276"/>
                <w:sz w:val="19"/>
                <w:szCs w:val="19"/>
              </w:rPr>
              <w:t xml:space="preserve">Product &amp; Delivery</w:t>
            </w:r>
          </w:p>
        </w:tc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2C3E50"/>
                <w:sz w:val="19"/>
                <w:szCs w:val="19"/>
              </w:rPr>
              <w:t xml:space="preserve">Product Discovery, Specs &amp; Wireframes, UI/UX Design, Figma, User Research &amp; Personas, A/B Testing, Feature Flags, Observability (Datadog, Dynatrace, Amplitude), Testing (Jest, RTL, Cypress, Playwright), Accessibility (WCAG/ARIA), Agile/Scrum</w:t>
            </w:r>
          </w:p>
        </w:tc>
      </w:tr>
    </w:tbl>
    <w:p>
      <w:pPr>
        <w:spacing w:after="60" w:before="17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PROFESSIONAL EXPERIENCE</w:t>
      </w:r>
    </w:p>
    <w:p>
      <w:pPr>
        <w:spacing w:after="15" w:before="80"/>
      </w:pP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Solutions Architect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Jul 2024 – Present</w:t>
            </w:r>
          </w:p>
        </w:tc>
      </w:tr>
    </w:tbl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A5276"/>
                <w:sz w:val="19"/>
                <w:szCs w:val="19"/>
              </w:rPr>
              <w:t xml:space="preserve">Creospan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66573"/>
                <w:sz w:val="19"/>
                <w:szCs w:val="19"/>
              </w:rPr>
              <w:t xml:space="preserve">Remote (W2)</w:t>
            </w:r>
          </w:p>
        </w:tc>
      </w:tr>
    </w:tbl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Gave a multi-billion-dollar rental client natural-language answers to why customers call — architecting their first production AI system end-to-end as sole architect: an AWS pipeline ingesting ~1,400 calls/day (Nice API → Transcribe → Batch Inference classification → data lake) with version-controlled classification, QuickSight dashboards, and a Lex + Bedrock executive chatbot; re-architected it when AWS shipped Batch Inference.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Closed the full product loop: used the platform's own data to find ~30% of inbound calls were unconfirmed cancellations, then owned discovery, built the frontend self-service cancellation flow, and specced the backend changes — cutting total call volume ~30%.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Built a Webpack 5 module-federation runtime-override system + custom browser extension for a 60-micro-frontend, 4-team platform where no lower environment matched production — letting any developer test changes against real production data, users, and auth in seconds instead of hours; also built a one-click, dependency-aware deployment tool that prevents human error.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Root-caused elusive cross-team production bugs by tracing correlation IDs from Amplitude into Dynatrace to the failing service (e.g., hardwired client-ID logic flagged for replacement with a configurable request flag).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Hardened cross-app authentication (34% fewer auth failures via feature-flag-gated token routing) and drove accessibility, performance, and end-to-end testing across customer flows.</w:t>
      </w:r>
    </w:p>
    <w:p>
      <w:pPr>
        <w:spacing w:after="40" w:before="30"/>
      </w:pPr>
      <w:r>
        <w:rPr>
          <w:rFonts w:ascii="Calibri" w:cs="Calibri" w:eastAsia="Calibri" w:hAnsi="Calibri"/>
          <w:b/>
          <w:bCs/>
          <w:color w:val="566573"/>
          <w:sz w:val="17"/>
          <w:szCs w:val="17"/>
        </w:rPr>
        <w:t xml:space="preserve">Tech: </w:t>
      </w:r>
      <w:r>
        <w:rPr>
          <w:rFonts w:ascii="Calibri" w:cs="Calibri" w:eastAsia="Calibri" w:hAnsi="Calibri"/>
          <w:color w:val="566573"/>
          <w:sz w:val="17"/>
          <w:szCs w:val="17"/>
        </w:rPr>
        <w:t xml:space="preserve">TypeScript, JavaScript, Java, Python, React, Node.js, Spring, AWS (Bedrock, Lex, Transcribe, Lambda, ECS, EventBridge), Terraform, CloudFormation, PostgreSQL, Redis, Databricks, Datadog, Dynatrace, Amplitude</w:t>
      </w:r>
    </w:p>
    <w:p>
      <w:pPr>
        <w:spacing w:after="15" w:before="80"/>
      </w:pP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Full-Stack Software Engineer (Founding)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Jan 2024 – Jun 2024</w:t>
            </w:r>
          </w:p>
        </w:tc>
      </w:tr>
    </w:tbl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A5276"/>
                <w:sz w:val="19"/>
                <w:szCs w:val="19"/>
              </w:rPr>
              <w:t xml:space="preserve">The Version 2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66573"/>
                <w:sz w:val="19"/>
                <w:szCs w:val="19"/>
              </w:rPr>
              <w:t xml:space="preserve">Contract, Remote</w:t>
            </w:r>
          </w:p>
        </w:tc>
      </w:tr>
    </w:tbl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Founding engineer on a greenfield ad-tech platform, working directly with the CTO, CPO, and COO on technical strategy and product direction.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Built and owned the reusable component library and design-system foundations from scratch, establishing the frontend patterns and conventions the team built 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Implemented the Google DV 360 integration for campaign creation and updates — working through a dense, complex API — and modeled state/synchronization for work-in-progress campaign data.</w:t>
      </w:r>
    </w:p>
    <w:p>
      <w:pPr>
        <w:spacing w:after="40" w:before="30"/>
      </w:pPr>
      <w:r>
        <w:rPr>
          <w:rFonts w:ascii="Calibri" w:cs="Calibri" w:eastAsia="Calibri" w:hAnsi="Calibri"/>
          <w:b/>
          <w:bCs/>
          <w:color w:val="566573"/>
          <w:sz w:val="17"/>
          <w:szCs w:val="17"/>
        </w:rPr>
        <w:t xml:space="preserve">Tech: </w:t>
      </w:r>
      <w:r>
        <w:rPr>
          <w:rFonts w:ascii="Calibri" w:cs="Calibri" w:eastAsia="Calibri" w:hAnsi="Calibri"/>
          <w:color w:val="566573"/>
          <w:sz w:val="17"/>
          <w:szCs w:val="17"/>
        </w:rPr>
        <w:t xml:space="preserve">TypeScript, React (Remix), Vitest, PostgreSQL, TailwindCSS, Prisma ORM</w:t>
      </w:r>
    </w:p>
    <w:p>
      <w:pPr>
        <w:spacing w:after="15" w:before="80"/>
      </w:pP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System Architect / Full-Stack Engineer (Lead)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Jan 2023 – Jan 2024</w:t>
            </w:r>
          </w:p>
        </w:tc>
      </w:tr>
    </w:tbl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A5276"/>
                <w:sz w:val="19"/>
                <w:szCs w:val="19"/>
              </w:rPr>
              <w:t xml:space="preserve">iCreate.Fashion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66573"/>
                <w:sz w:val="19"/>
                <w:szCs w:val="19"/>
              </w:rPr>
              <w:t xml:space="preserve">Remote</w:t>
            </w:r>
          </w:p>
        </w:tc>
      </w:tr>
    </w:tbl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Sole owner of product, design, and engineering for a digital tech-pack SaaS — interviewed designers, built user personas, mapped features and roadmap, and designed the full UI/UX (no dedicated PM or designer).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Built 95%+ of the full-stack app from an undocumented proof-of-concept to a documented, maintainable platform — shipping continuously to designers who used it live, and turning their feedback into specs and pixel-perfect mockups for myself and other engineers.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Designed the entire database and information architecture (re-architected to 3NF; migrated via AWS DMS with zero data loss); automated infrastructure and CI/CD via AWS CDK and remediated cloud security vulnerabilities.</w:t>
      </w:r>
    </w:p>
    <w:p>
      <w:pPr>
        <w:spacing w:after="40" w:before="30"/>
      </w:pPr>
      <w:r>
        <w:rPr>
          <w:rFonts w:ascii="Calibri" w:cs="Calibri" w:eastAsia="Calibri" w:hAnsi="Calibri"/>
          <w:b/>
          <w:bCs/>
          <w:color w:val="566573"/>
          <w:sz w:val="17"/>
          <w:szCs w:val="17"/>
        </w:rPr>
        <w:t xml:space="preserve">Tech: </w:t>
      </w:r>
      <w:r>
        <w:rPr>
          <w:rFonts w:ascii="Calibri" w:cs="Calibri" w:eastAsia="Calibri" w:hAnsi="Calibri"/>
          <w:color w:val="566573"/>
          <w:sz w:val="17"/>
          <w:szCs w:val="17"/>
        </w:rPr>
        <w:t xml:space="preserve">TypeScript, React (Remix), PostgreSQL, MySQL, AWS (CDK, EC2, ECS, CodePipeline, DMS), TailwindCSS, Prisma ORM, Figma</w:t>
      </w:r>
    </w:p>
    <w:p>
      <w:pPr>
        <w:spacing w:after="15" w:before="80"/>
      </w:pP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Full-Stack Software Engineer (Senior)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Jan 2021 – Jan 2023</w:t>
            </w:r>
          </w:p>
        </w:tc>
      </w:tr>
    </w:tbl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A5276"/>
                <w:sz w:val="19"/>
                <w:szCs w:val="19"/>
              </w:rPr>
              <w:t xml:space="preserve">Liquidware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66573"/>
                <w:sz w:val="19"/>
                <w:szCs w:val="19"/>
              </w:rPr>
              <w:t xml:space="preserve">Remote (W2)</w:t>
            </w:r>
          </w:p>
        </w:tc>
      </w:tr>
    </w:tbl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Sole developer of a greenfield admin dashboard (Angular + TailwindCSS) for an enterprise device-security platform — letting system administrators monitor registered devices and surface behavioral anomalies through drill-down charts that filter into refined views.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Led the multi-phase migration from a legacy Apache Wicket (Java) monolith to a modern Angular + Spring architecture, collaborating on a distributed backend (Java, Spring, Apache Kafka event streaming, Karaf OSGi / ServiceMix).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Held the UI/UX quality bar on the product, refining design handoffs to accessibility and design best practices.</w:t>
      </w:r>
    </w:p>
    <w:p>
      <w:pPr>
        <w:spacing w:after="40" w:before="30"/>
      </w:pPr>
      <w:r>
        <w:rPr>
          <w:rFonts w:ascii="Calibri" w:cs="Calibri" w:eastAsia="Calibri" w:hAnsi="Calibri"/>
          <w:b/>
          <w:bCs/>
          <w:color w:val="566573"/>
          <w:sz w:val="17"/>
          <w:szCs w:val="17"/>
        </w:rPr>
        <w:t xml:space="preserve">Tech: </w:t>
      </w:r>
      <w:r>
        <w:rPr>
          <w:rFonts w:ascii="Calibri" w:cs="Calibri" w:eastAsia="Calibri" w:hAnsi="Calibri"/>
          <w:color w:val="566573"/>
          <w:sz w:val="17"/>
          <w:szCs w:val="17"/>
        </w:rPr>
        <w:t xml:space="preserve">Angular, RxJS, TailwindCSS, Java, Spring, Apache Kafka, Apache Karaf OSGi, MS SQL Server, Figma</w:t>
      </w:r>
    </w:p>
    <w:p>
      <w:pPr>
        <w:spacing w:after="15" w:before="80"/>
      </w:pP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Founding Engineer / System Architect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Mar 2019 – Jan 2021</w:t>
            </w:r>
          </w:p>
        </w:tc>
      </w:tr>
    </w:tbl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A5276"/>
                <w:sz w:val="19"/>
                <w:szCs w:val="19"/>
              </w:rPr>
              <w:t xml:space="preserve">Photology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66573"/>
                <w:sz w:val="19"/>
                <w:szCs w:val="19"/>
              </w:rPr>
              <w:t xml:space="preserve">Contract, Remote</w:t>
            </w:r>
          </w:p>
        </w:tc>
      </w:tr>
    </w:tbl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Sole developer for 1+ year of a SaaS scheduling, fleet, and ordering product — designed the entire database and information architecture and built the client portal, vendor-management platform, and React Native field-worker mobile app, owning the data model, frontend, and UX end-to-end while iterating on real user feedback.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Drove product planning — roadmaps, sprints, epics, and feature mapping — wearing both architect and product hats.</w:t>
      </w:r>
    </w:p>
    <w:p>
      <w:pPr>
        <w:spacing w:after="40" w:before="30"/>
      </w:pPr>
      <w:r>
        <w:rPr>
          <w:rFonts w:ascii="Calibri" w:cs="Calibri" w:eastAsia="Calibri" w:hAnsi="Calibri"/>
          <w:b/>
          <w:bCs/>
          <w:color w:val="566573"/>
          <w:sz w:val="17"/>
          <w:szCs w:val="17"/>
        </w:rPr>
        <w:t xml:space="preserve">Tech: </w:t>
      </w:r>
      <w:r>
        <w:rPr>
          <w:rFonts w:ascii="Calibri" w:cs="Calibri" w:eastAsia="Calibri" w:hAnsi="Calibri"/>
          <w:color w:val="566573"/>
          <w:sz w:val="17"/>
          <w:szCs w:val="17"/>
        </w:rPr>
        <w:t xml:space="preserve">TypeScript, React, Node.js, React Native/Expo, PostgreSQL</w:t>
      </w:r>
    </w:p>
    <w:p>
      <w:pPr>
        <w:spacing w:after="15" w:before="80"/>
      </w:pP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Full-Stack Software Engineer (Lead)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Jul 2017 – Oct 2018</w:t>
            </w:r>
          </w:p>
        </w:tc>
      </w:tr>
    </w:tbl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A5276"/>
                <w:sz w:val="19"/>
                <w:szCs w:val="19"/>
              </w:rPr>
              <w:t xml:space="preserve">Daugherty Business Solutions (for The Home Depot)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66573"/>
                <w:sz w:val="19"/>
                <w:szCs w:val="19"/>
              </w:rPr>
              <w:t xml:space="preserve">Onsite (W2)</w:t>
            </w:r>
          </w:p>
        </w:tc>
      </w:tr>
    </w:tbl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Flagged unprompted that a 20-store RFID loss-prevention POC was billing ~$119K/month, analyzed the billing myself, and cut it ~99% to ~$1.3K/month (~$1.4M/year saved) by refining the false-positive flagging algorithm embedded in the on-prem RFID readers to shrink Pub/Sub event volume — while hardening the architecture from POC to production.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Built a user-facing loss-prevention dashboard surfacing likely-stolen items with timestamps of when each product left its aisle and the store, over a real-time GCP Pub/Sub + DataFlow pipeline.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Led development of systems integrating RFID asset tracking, video/camera analytics, and facial recognition with front-end applications and in-store hardware.</w:t>
      </w:r>
    </w:p>
    <w:p>
      <w:pPr>
        <w:spacing w:after="40" w:before="30"/>
      </w:pPr>
      <w:r>
        <w:rPr>
          <w:rFonts w:ascii="Calibri" w:cs="Calibri" w:eastAsia="Calibri" w:hAnsi="Calibri"/>
          <w:b/>
          <w:bCs/>
          <w:color w:val="566573"/>
          <w:sz w:val="17"/>
          <w:szCs w:val="17"/>
        </w:rPr>
        <w:t xml:space="preserve">Tech: </w:t>
      </w:r>
      <w:r>
        <w:rPr>
          <w:rFonts w:ascii="Calibri" w:cs="Calibri" w:eastAsia="Calibri" w:hAnsi="Calibri"/>
          <w:color w:val="566573"/>
          <w:sz w:val="17"/>
          <w:szCs w:val="17"/>
        </w:rPr>
        <w:t xml:space="preserve">Angular, RxJS, GCP (BigQuery, DataStore, AppEngine, Pub/Sub, DataFlow), Java, Spring, RFID, Facial Recognition</w:t>
      </w:r>
    </w:p>
    <w:p>
      <w:pPr>
        <w:spacing w:after="15" w:before="80"/>
      </w:pP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Full-Stack Software Engineer (Senior)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May 2016 – Jul 2017</w:t>
            </w:r>
          </w:p>
        </w:tc>
      </w:tr>
    </w:tbl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A5276"/>
                <w:sz w:val="19"/>
                <w:szCs w:val="19"/>
              </w:rPr>
              <w:t xml:space="preserve">The Home Depot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66573"/>
                <w:sz w:val="19"/>
                <w:szCs w:val="19"/>
              </w:rPr>
              <w:t xml:space="preserve">Onsite (W2)</w:t>
            </w:r>
          </w:p>
        </w:tc>
      </w:tr>
    </w:tbl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Diagnosed and fixed a critical validation/parsing defect in a logistics/shipping batch system that was silently corrupting data — preventing over $10M/day in losses.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Lead developer across multiple supply-chain applications on a team of eight; modernized the frontend from AngularJS to Angular for performance and maintainability.</w:t>
      </w:r>
    </w:p>
    <w:p>
      <w:pPr>
        <w:spacing w:after="40" w:before="30"/>
      </w:pPr>
      <w:r>
        <w:rPr>
          <w:rFonts w:ascii="Calibri" w:cs="Calibri" w:eastAsia="Calibri" w:hAnsi="Calibri"/>
          <w:b/>
          <w:bCs/>
          <w:color w:val="566573"/>
          <w:sz w:val="17"/>
          <w:szCs w:val="17"/>
        </w:rPr>
        <w:t xml:space="preserve">Tech: </w:t>
      </w:r>
      <w:r>
        <w:rPr>
          <w:rFonts w:ascii="Calibri" w:cs="Calibri" w:eastAsia="Calibri" w:hAnsi="Calibri"/>
          <w:color w:val="566573"/>
          <w:sz w:val="17"/>
          <w:szCs w:val="17"/>
        </w:rPr>
        <w:t xml:space="preserve">Angular, jQuery, GCP (AppEngine, BigQuery), Java, Spring Framework, Spring Batch, Oracle SQL</w:t>
      </w:r>
    </w:p>
    <w:p>
      <w:pPr>
        <w:spacing w:after="60" w:before="170"/>
      </w:pPr>
      <w:r>
        <w:rPr>
          <w:rFonts w:ascii="Calibri" w:cs="Calibri" w:eastAsia="Calibri" w:hAnsi="Calibri"/>
          <w:b/>
          <w:bCs/>
          <w:color w:val="1A5276"/>
          <w:sz w:val="24"/>
          <w:szCs w:val="24"/>
        </w:rPr>
        <w:t xml:space="preserve">EDUCATION</w:t>
      </w:r>
    </w:p>
    <w:tbl>
      <w:tblPr>
        <w:tblW w:type="dxa" w:w="104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340"/>
        <w:gridCol w:w="3100"/>
      </w:tblGrid>
      <w:tr>
        <w:tc>
          <w:tcPr>
            <w:tcW w:type="dxa" w:w="7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2833"/>
                <w:sz w:val="21"/>
                <w:szCs w:val="21"/>
              </w:rPr>
              <w:t xml:space="preserve">B.S., Information Science &amp; Technology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66573"/>
                <w:sz w:val="19"/>
                <w:szCs w:val="19"/>
              </w:rPr>
              <w:t xml:space="preserve">Jan 2014 – Aug 2016</w:t>
            </w:r>
          </w:p>
        </w:tc>
      </w:tr>
    </w:tbl>
    <w:p>
      <w:pPr>
        <w:spacing w:before="15"/>
      </w:pPr>
      <w:r>
        <w:rPr>
          <w:rFonts w:ascii="Calibri" w:cs="Calibri" w:eastAsia="Calibri" w:hAnsi="Calibri"/>
          <w:i/>
          <w:iCs/>
          <w:color w:val="1A5276"/>
          <w:sz w:val="19"/>
          <w:szCs w:val="19"/>
        </w:rPr>
        <w:t xml:space="preserve">University of Wisconsin–Milwaukee</w:t>
      </w:r>
    </w:p>
    <w:sectPr>
      <w:pgSz w:w="12240" w:h="15840" w:orient="portrait"/>
      <w:pgMar w:top="680" w:right="900" w:bottom="68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2026-07-22T02:03:03.888Z</dcterms:created>
  <dcterms:modified xsi:type="dcterms:W3CDTF">2026-07-22T02:03:03.888Z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